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480" w:right="0" w:firstLine="0"/>
        <w:jc w:val="center"/>
        <w:rPr>
          <w:rFonts w:ascii="DFKai-SB" w:cs="DFKai-SB" w:eastAsia="DFKai-SB" w:hAnsi="DFKai-SB"/>
          <w:b/>
          <w:i w:val="false"/>
          <w:smallCaps w:val="false"/>
          <w:color w:val="000000"/>
          <w:sz w:val="40"/>
          <w:szCs w:val="40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/>
          <w:i w:val="false"/>
          <w:smallCaps w:val="false"/>
          <w:color w:val="000000"/>
          <w:sz w:val="40"/>
          <w:szCs w:val="40"/>
          <w:u w:val="none"/>
          <w:shd w:val="clear" w:color="auto" w:fill="auto"/>
          <w:vertAlign w:val="baseline"/>
        </w:rPr>
        <w:t>113年「高美濕地探索、瀞園看古蹟」小旅行</w:t>
      </w:r>
      <w:r>
        <w:rPr>
          <w:rFonts w:cs="DFKai-SB" w:eastAsia="DFKai-SB" w:hAnsi="DFKai-SB"/>
          <w:b/>
          <w:i w:val="false"/>
          <w:smallCaps w:val="false"/>
          <w:color w:val="000000"/>
          <w:sz w:val="40"/>
          <w:szCs w:val="40"/>
          <w:u w:val="none"/>
          <w:shd w:val="clear" w:color="auto" w:fill="auto"/>
          <w:vertAlign w:val="baseline"/>
          <w:lang w:val="en-US"/>
        </w:rPr>
        <w:t>3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48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名聞遐邇的高美濕地，除了追逐夕陽，還有鹹鹹海水味，濃濃人情味，好動的螃蟹，安靜的文蛤，眾鳥群飛...生態資源豐富，更有引人入勝的珍貴植物清明綬草，綠茵遍地，值得您前來探尋、細細品味。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48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溼地旁坐落著一座高聳的歷史建築「高美燈塔」，為我國唯一紅白相間之橫紋燈塔，外觀呈八角形，至今仍保有建造初期之氛圍。位於濕地北方的海岸邊，過去曾分布著美軍油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48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輪輸油管，透過加壓站將油料輸送至鰲峰山頂的大楊油庫存放，供給美軍越戰燃油使用。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48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市定古蹟，清水國姓里「黃家瀞園」，隱藏在田野鄉間，歐式立面，高貴典雅，中式廳堂，華麗氣派，輕訴過去曾經的歷史風華，墾拓辛酸，一段段的精彩...都值得輕輕探訪...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48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想過海水、濕地、螃蟹、燈塔、古厝、窗花、幾何，這樣奇妙的組合嗎 ? 邀請您來探訪，海邊熱情吶喊後再到古厝內尋找童年....您將獲得不一樣的感動與驚喜！邀請您一起來體驗。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一、辦理單位：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09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指導單位：臺中市政府文化局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09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主辦單位：臺中市文化資產處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09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承辦單位：社團法人臺灣自然研究學會-EIET遊戲解說營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二辦理方式：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1.活動時間：113年0</w:t>
      </w:r>
      <w:r>
        <w:rPr>
          <w:rFonts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7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月</w:t>
      </w:r>
      <w:r>
        <w:rPr>
          <w:rFonts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15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日 (星期</w:t>
      </w:r>
      <w:r>
        <w:rPr>
          <w:rFonts w:ascii="DFKai-SB" w:cs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一</w:t>
      </w:r>
      <w:r>
        <w:rPr>
          <w:rFonts w:cs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)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(滿潮0</w:t>
      </w:r>
      <w:r>
        <w:rPr>
          <w:rFonts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5</w:t>
      </w:r>
      <w:r>
        <w:rPr>
          <w:rFonts w:ascii="DFKai-SB" w:cs="DFKai-SB" w:eastAsia="DFKai-SB" w:hAnsi="DFKai-SB"/>
          <w:sz w:val="24"/>
          <w:szCs w:val="24"/>
        </w:rPr>
        <w:t>:</w:t>
      </w:r>
      <w:r>
        <w:rPr>
          <w:rFonts w:cs="DFKai-SB" w:eastAsia="DFKai-SB" w:hAnsi="DFKai-SB"/>
          <w:sz w:val="24"/>
          <w:szCs w:val="24"/>
          <w:lang w:val="en-US"/>
        </w:rPr>
        <w:t>12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，乾潮1</w:t>
      </w:r>
      <w:r>
        <w:rPr>
          <w:rFonts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1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:</w:t>
      </w:r>
      <w:r>
        <w:rPr>
          <w:rFonts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38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)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240" w:right="0" w:hanging="24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2.活動地點：高美濕地、高美燈塔（臺中市清水區高美路748號）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240" w:right="0" w:hanging="24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清水黃家瀞園 (臺中市清水區三美路57號)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3.報名截止日期：每梯次活動前三日(額滿為止，不足15人活動取消)。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4.參加資格：對濕地生態、古蹟人文等環境探索、體驗活動有興趣之親子與民眾30人。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5.參加費用：每人繳交300元保證金</w:t>
      </w:r>
      <w:r>
        <w:rPr>
          <w:rFonts w:ascii="DFKai-SB" w:cs="DFKai-SB" w:eastAsia="DFKai-SB" w:hAnsi="DFKai-SB"/>
          <w:b w:val="false"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>【活動結束當場退還】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6.繳費方式：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981" w:right="0" w:hanging="1379"/>
        <w:jc w:val="left"/>
        <w:rPr>
          <w:rFonts w:ascii="Arial" w:cs="Arial" w:eastAsia="Arial" w:hAnsi="Arial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※繳費程序</w:t>
      </w:r>
      <w:r>
        <w:rPr>
          <w:rFonts w:ascii="Arial" w:cs="Arial" w:eastAsia="Arial" w:hAnsi="Arial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425"/>
        <w:jc w:val="left"/>
        <w:rPr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</w:rPr>
      </w:pP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>網站公告正取後即可繳費，請將費用利用ATM轉帳或臨櫃匯款至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425"/>
        <w:jc w:val="left"/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>戶名：鄭清海； 帳號：大甲郵局0141320-0344931。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425"/>
        <w:jc w:val="left"/>
        <w:rPr>
          <w:rFonts w:ascii="DFKai-SB" w:cs="DFKai-SB" w:eastAsia="DFKai-SB" w:hAnsi="DFKai-SB"/>
          <w:b/>
          <w:i w:val="false"/>
          <w:smallCaps w:val="false"/>
          <w:color w:val="ff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/>
          <w:i w:val="false"/>
          <w:smallCaps w:val="false"/>
          <w:color w:val="ff0000"/>
          <w:sz w:val="24"/>
          <w:szCs w:val="24"/>
          <w:u w:val="none"/>
          <w:shd w:val="clear" w:color="auto" w:fill="auto"/>
          <w:vertAlign w:val="baseline"/>
        </w:rPr>
        <w:t>正取者5日內未繳費者視同棄權，由備取者遞補。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425"/>
        <w:jc w:val="left"/>
        <w:rPr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</w:rPr>
      </w:pP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 xml:space="preserve">請將轉帳憑證拍照或掃描寄送 </w:t>
      </w:r>
      <w:r>
        <w:rPr/>
        <w:fldChar w:fldCharType="begin"/>
      </w:r>
      <w:r>
        <w:instrText xml:space="preserve"> HYPERLINK "mailto:nofish47@gmail.com"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ff"/>
          <w:sz w:val="24"/>
          <w:szCs w:val="24"/>
          <w:u w:val="single"/>
          <w:shd w:val="clear" w:color="auto" w:fill="auto"/>
          <w:vertAlign w:val="baseline"/>
        </w:rPr>
        <w:t>nofish47@gmail.com</w:t>
      </w:r>
      <w:r>
        <w:rPr/>
        <w:fldChar w:fldCharType="end"/>
      </w: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 xml:space="preserve"> 鄭清海先生收，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425"/>
        <w:jc w:val="left"/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>或電話0928-188985確認繳費成功。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567"/>
        <w:jc w:val="both"/>
        <w:rPr>
          <w:b/>
          <w:i w:val="false"/>
          <w:smallCaps w:val="false"/>
          <w:color w:val="ff0000"/>
          <w:sz w:val="24"/>
          <w:szCs w:val="24"/>
          <w:u w:val="none"/>
          <w:shd w:val="clear" w:color="auto" w:fill="auto"/>
        </w:rPr>
      </w:pPr>
      <w:r>
        <w:rPr>
          <w:rFonts w:ascii="DFKai-SB" w:cs="DFKai-SB" w:eastAsia="DFKai-SB" w:hAnsi="DFKai-SB"/>
          <w:b/>
          <w:i w:val="false"/>
          <w:smallCaps w:val="false"/>
          <w:color w:val="ff0000"/>
          <w:sz w:val="24"/>
          <w:szCs w:val="24"/>
          <w:u w:val="none"/>
          <w:shd w:val="clear" w:color="auto" w:fill="auto"/>
          <w:vertAlign w:val="baseline"/>
        </w:rPr>
        <w:t>保證金300元於當天活動結束時發還。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418" w:right="0" w:hanging="567"/>
        <w:jc w:val="both"/>
        <w:rPr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</w:rPr>
      </w:pPr>
      <w:r>
        <w:rPr>
          <w:rFonts w:ascii="DFKai-SB" w:cs="DFKai-SB" w:eastAsia="DFKai-SB" w:hAnsi="DFKai-SB"/>
          <w:b/>
          <w:i w:val="false"/>
          <w:smallCaps w:val="false"/>
          <w:color w:val="0000ff"/>
          <w:sz w:val="24"/>
          <w:szCs w:val="24"/>
          <w:u w:val="none"/>
          <w:shd w:val="clear" w:color="auto" w:fill="auto"/>
          <w:vertAlign w:val="baseline"/>
        </w:rPr>
        <w:t>如遇天災或發布停止上班上課等不可抗力因素，則取消活動，全額退費。如活動前三日向承辦單位請假退費八成，未能全程參加研習者，概不退費。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highlight w:val="yellow"/>
          <w:u w:val="none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7.報　　到：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highlight w:val="yellow"/>
          <w:u w:val="none"/>
          <w:vertAlign w:val="baseline"/>
        </w:rPr>
        <w:t>高美燈塔前停車場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8.聯絡方式：余新玲0920-386901 E-mail: </w:t>
      </w:r>
      <w:r>
        <w:rPr/>
        <w:fldChar w:fldCharType="begin"/>
      </w:r>
      <w:r>
        <w:instrText xml:space="preserve"> HYPERLINK "mailto:a388636@ms46.hinet.net" </w:instrText>
      </w:r>
      <w:r>
        <w:rPr/>
        <w:fldChar w:fldCharType="separate"/>
      </w:r>
      <w:r>
        <w:rPr>
          <w:rFonts w:ascii="Roboto" w:cs="Roboto" w:eastAsia="Roboto" w:hAnsi="Roboto"/>
          <w:b w:val="false"/>
          <w:i w:val="false"/>
          <w:smallCaps w:val="false"/>
          <w:color w:val="0000ff"/>
          <w:sz w:val="21"/>
          <w:szCs w:val="21"/>
          <w:u w:val="single"/>
          <w:shd w:val="clear" w:color="auto" w:fill="auto"/>
          <w:vertAlign w:val="baseline"/>
        </w:rPr>
        <w:t>a0920386901@gmail.com</w:t>
      </w:r>
      <w:r>
        <w:rPr/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9.活動內容：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style4099"/>
        <w:tblW w:w="10282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113"/>
        <w:gridCol w:w="1418"/>
        <w:gridCol w:w="3193"/>
      </w:tblGrid>
      <w:tr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20" w:lineRule="auto" w:line="240"/>
              <w:ind w:left="480" w:right="0" w:firstLine="0"/>
              <w:jc w:val="center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　　　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20" w:lineRule="auto" w:line="240"/>
              <w:ind w:left="480" w:right="0" w:firstLine="0"/>
              <w:jc w:val="center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活動內容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20" w:lineRule="auto" w:line="240"/>
              <w:ind w:left="480" w:right="0" w:firstLine="0"/>
              <w:jc w:val="center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負責人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120" w:lineRule="auto" w:line="240"/>
              <w:ind w:left="480" w:right="0" w:firstLine="0"/>
              <w:jc w:val="center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備註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08:30-09:00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報到、相見歡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執行官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高美燈塔前停車場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09:00-11:15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(1)高美燈塔及周邊地景巡禮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(2)濕地生態探索~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賞蟹、觀草、踏浪、迎風吶喊</w:t>
            </w:r>
            <w:r>
              <w:rPr>
                <w:rFonts w:ascii="PMingLiu" w:cs="PMingLiu" w:eastAsia="PMingLiu" w:hAnsi="PMingLiu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、</w:t>
            </w: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沙灘漫步、耙文蛤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解說員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分成二組，各自進行探索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11:15-11:30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迎風賞景訪瀞園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自行前往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瀞園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11:30-12:00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初識瀞園尋寶趣(彈性項目)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執行官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視實際到達時間彈性調整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12:00-13:00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午餐、休息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13:00-13:50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瀞園導覽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解說員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13:50-14:15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手作DIY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手做老師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14:15-15:15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古蹟、生態大闖關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lang w:val="en-US"/>
              </w:rPr>
              <w:t>關主老師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闖關遊戲每關20分鐘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15:15-15:30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心得分享&amp;退費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執行官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15：30~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回到溫暖的家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DFKai-SB" w:cs="DFKai-SB" w:eastAsia="DFKai-SB" w:hAnsi="DFKai-SB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0" w:right="0" w:firstLine="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>活動當天得視潮汐、天候狀況或不可抗力因素做必要之調整。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>備註：1、請攜帶環保杯、餐具等。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        2、為保護自己及他人，得自由配戴口罩、酒精消毒等措施，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highlight w:val="yellow"/>
          <w:u w:val="none"/>
          <w:vertAlign w:val="baseline"/>
        </w:rPr>
        <w:t>(得視實際情形，彈性調整)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。         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 xml:space="preserve">           3、請穿著輕便、舒適服飾、運動鞋等，做好個人健康防護。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sz w:val="26"/>
          <w:szCs w:val="26"/>
        </w:rPr>
        <w:t xml:space="preserve">          4、</w:t>
      </w: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>時間分配是預估，得視實際情形彈性調整。其他未盡事宜，依實際情形調整。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</w:pPr>
      <w:r>
        <w:rPr>
          <w:rFonts w:ascii="DFKai-SB" w:cs="DFKai-SB" w:eastAsia="DFKai-SB" w:hAnsi="DFKai-SB"/>
          <w:b w:val="false"/>
          <w:i w:val="false"/>
          <w:smallCaps w:val="false"/>
          <w:color w:val="000000"/>
          <w:sz w:val="26"/>
          <w:szCs w:val="26"/>
          <w:u w:val="none"/>
          <w:shd w:val="clear" w:color="auto" w:fill="auto"/>
          <w:vertAlign w:val="baseline"/>
        </w:rPr>
        <w:t>交通路線:</w:t>
      </w:r>
    </w:p>
    <w:tbl>
      <w:tblPr>
        <w:tblStyle w:val="style4100"/>
        <w:tblW w:w="9638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>
        <w:trPr>
          <w:cantSplit w:val="false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/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18970" cy="3951605"/>
                  <wp:effectExtent l="0" t="0" r="0" b="0"/>
                  <wp:wrapTopAndBottom/>
                  <wp:docPr id="1026" name="image1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18970" cy="3951605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/>
              <w:drawing>
                <wp:anchor distT="0" distB="0" distL="0" distR="0" simplePos="false" relativeHeight="3" behindDoc="false" locked="false" layoutInCell="true" allowOverlap="tru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91639" cy="3890644"/>
                  <wp:effectExtent l="0" t="0" r="0" b="0"/>
                  <wp:wrapTopAndBottom/>
                  <wp:docPr id="1027" name="image2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91639" cy="389064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1170" w:right="0" w:hanging="1170"/>
        <w:jc w:val="both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sectPr>
      <w:pgSz w:w="11906" w:h="16838" w:orient="portrait"/>
      <w:pgMar w:top="850" w:right="1134" w:bottom="794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lang w:val="en-US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1175</Words>
  <Characters>1400</Characters>
  <Application>WPS Office</Application>
  <Paragraphs>100</Paragraphs>
  <CharactersWithSpaces>1486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2024-06-03T09:16:37Z</dcterms:created>
  <dc:creator>WPS Office</dc:creator>
  <lastModifiedBy>ASUS_X01AD</lastModifiedBy>
  <dcterms:modified xsi:type="dcterms:W3CDTF">2024-06-12T12:00:50Z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abf63d6e52a54f718b3dc8378dc08823</vt:lpwstr>
  </property>
</Properties>
</file>